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DC" w:rsidRPr="006F3813" w:rsidRDefault="000D6CBB" w:rsidP="00C730EA">
      <w:pPr>
        <w:pStyle w:val="Heading2"/>
        <w:jc w:val="center"/>
        <w:rPr>
          <w:rFonts w:ascii="Arial" w:hAnsi="Arial" w:cs="Arial"/>
          <w:i w:val="0"/>
          <w:sz w:val="24"/>
          <w:szCs w:val="24"/>
        </w:rPr>
      </w:pPr>
      <w:r>
        <w:rPr>
          <w:rFonts w:ascii="Arial" w:hAnsi="Arial" w:cs="Arial"/>
          <w:b w:val="0"/>
          <w:bCs w:val="0"/>
          <w:i w:val="0"/>
          <w:iCs w:val="0"/>
          <w:noProof/>
          <w:sz w:val="24"/>
          <w:szCs w:val="24"/>
          <w:lang w:eastAsia="en-GB"/>
        </w:rPr>
        <w:drawing>
          <wp:anchor distT="0" distB="0" distL="114300" distR="114300" simplePos="0" relativeHeight="251655680" behindDoc="1" locked="0" layoutInCell="1" allowOverlap="1">
            <wp:simplePos x="0" y="0"/>
            <wp:positionH relativeFrom="column">
              <wp:posOffset>6333490</wp:posOffset>
            </wp:positionH>
            <wp:positionV relativeFrom="paragraph">
              <wp:posOffset>-210185</wp:posOffset>
            </wp:positionV>
            <wp:extent cx="571500" cy="542290"/>
            <wp:effectExtent l="19050" t="0" r="0" b="0"/>
            <wp:wrapNone/>
            <wp:docPr id="4"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10" cstate="print"/>
                    <a:srcRect/>
                    <a:stretch>
                      <a:fillRect/>
                    </a:stretch>
                  </pic:blipFill>
                  <pic:spPr bwMode="auto">
                    <a:xfrm>
                      <a:off x="0" y="0"/>
                      <a:ext cx="571500" cy="542290"/>
                    </a:xfrm>
                    <a:prstGeom prst="rect">
                      <a:avLst/>
                    </a:prstGeom>
                    <a:noFill/>
                  </pic:spPr>
                </pic:pic>
              </a:graphicData>
            </a:graphic>
          </wp:anchor>
        </w:drawing>
      </w:r>
      <w:r w:rsidR="005056DC" w:rsidRPr="006F3813">
        <w:rPr>
          <w:rFonts w:ascii="Arial" w:hAnsi="Arial" w:cs="Arial"/>
          <w:i w:val="0"/>
          <w:sz w:val="24"/>
          <w:szCs w:val="24"/>
        </w:rPr>
        <w:t>Record of General Risk Assessment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3"/>
        <w:gridCol w:w="2977"/>
        <w:gridCol w:w="3514"/>
        <w:gridCol w:w="2242"/>
      </w:tblGrid>
      <w:tr w:rsidR="00CD1F8E" w:rsidRPr="006F3813" w:rsidTr="00127E6C">
        <w:trPr>
          <w:trHeight w:val="381"/>
        </w:trPr>
        <w:tc>
          <w:tcPr>
            <w:tcW w:w="0" w:type="auto"/>
            <w:shd w:val="clear" w:color="auto" w:fill="E0E0E0"/>
            <w:vAlign w:val="center"/>
          </w:tcPr>
          <w:p w:rsidR="005056DC" w:rsidRPr="006F3813" w:rsidRDefault="005056DC" w:rsidP="004114F6">
            <w:pPr>
              <w:rPr>
                <w:rFonts w:ascii="Arial" w:hAnsi="Arial" w:cs="Arial"/>
                <w:b/>
              </w:rPr>
            </w:pPr>
            <w:r w:rsidRPr="006F3813">
              <w:rPr>
                <w:rFonts w:ascii="Arial" w:hAnsi="Arial" w:cs="Arial"/>
                <w:b/>
              </w:rPr>
              <w:t xml:space="preserve">Name of Assessor(s): </w:t>
            </w:r>
          </w:p>
        </w:tc>
        <w:tc>
          <w:tcPr>
            <w:tcW w:w="2977" w:type="dxa"/>
            <w:vAlign w:val="center"/>
          </w:tcPr>
          <w:p w:rsidR="005056DC" w:rsidRPr="006F3813" w:rsidRDefault="005056DC" w:rsidP="004114F6">
            <w:pPr>
              <w:pStyle w:val="Footer"/>
              <w:rPr>
                <w:rFonts w:ascii="Arial" w:hAnsi="Arial" w:cs="Arial"/>
                <w:bCs/>
              </w:rPr>
            </w:pPr>
          </w:p>
        </w:tc>
        <w:tc>
          <w:tcPr>
            <w:tcW w:w="3514" w:type="dxa"/>
            <w:tcBorders>
              <w:bottom w:val="single" w:sz="4" w:space="0" w:color="auto"/>
            </w:tcBorders>
            <w:shd w:val="clear" w:color="auto" w:fill="E0E0E0"/>
            <w:vAlign w:val="center"/>
          </w:tcPr>
          <w:p w:rsidR="005056DC" w:rsidRPr="006F3813" w:rsidRDefault="005056DC" w:rsidP="00503B12">
            <w:pPr>
              <w:pStyle w:val="Footer"/>
              <w:rPr>
                <w:rFonts w:ascii="Arial" w:hAnsi="Arial" w:cs="Arial"/>
                <w:b/>
                <w:bCs/>
              </w:rPr>
            </w:pPr>
            <w:r w:rsidRPr="006F3813">
              <w:rPr>
                <w:rFonts w:ascii="Arial" w:hAnsi="Arial" w:cs="Arial"/>
                <w:b/>
                <w:bCs/>
              </w:rPr>
              <w:t xml:space="preserve">Date of Original Assessment: </w:t>
            </w:r>
          </w:p>
        </w:tc>
        <w:tc>
          <w:tcPr>
            <w:tcW w:w="2242" w:type="dxa"/>
            <w:tcBorders>
              <w:bottom w:val="single" w:sz="4" w:space="0" w:color="auto"/>
            </w:tcBorders>
            <w:vAlign w:val="center"/>
          </w:tcPr>
          <w:p w:rsidR="005056DC" w:rsidRPr="006F3813" w:rsidRDefault="005056DC" w:rsidP="004114F6">
            <w:pPr>
              <w:pStyle w:val="Footer"/>
              <w:rPr>
                <w:rFonts w:ascii="Arial" w:hAnsi="Arial" w:cs="Arial"/>
                <w:bCs/>
              </w:rPr>
            </w:pPr>
          </w:p>
        </w:tc>
      </w:tr>
      <w:tr w:rsidR="005056DC" w:rsidRPr="006F3813" w:rsidTr="00127E6C">
        <w:trPr>
          <w:trHeight w:val="382"/>
        </w:trPr>
        <w:tc>
          <w:tcPr>
            <w:tcW w:w="0" w:type="auto"/>
            <w:shd w:val="clear" w:color="auto" w:fill="E0E0E0"/>
            <w:vAlign w:val="center"/>
          </w:tcPr>
          <w:p w:rsidR="005056DC" w:rsidRPr="006F3813" w:rsidRDefault="005056DC" w:rsidP="004114F6">
            <w:pPr>
              <w:rPr>
                <w:rFonts w:ascii="Arial" w:hAnsi="Arial" w:cs="Arial"/>
              </w:rPr>
            </w:pPr>
            <w:r w:rsidRPr="006F3813">
              <w:rPr>
                <w:rFonts w:ascii="Arial" w:hAnsi="Arial" w:cs="Arial"/>
                <w:b/>
                <w:bCs/>
              </w:rPr>
              <w:t>Manager Responsible:</w:t>
            </w:r>
          </w:p>
        </w:tc>
        <w:tc>
          <w:tcPr>
            <w:tcW w:w="8733" w:type="dxa"/>
            <w:gridSpan w:val="3"/>
            <w:vAlign w:val="center"/>
          </w:tcPr>
          <w:p w:rsidR="005056DC" w:rsidRPr="006F3813" w:rsidRDefault="005056DC" w:rsidP="004114F6">
            <w:pPr>
              <w:rPr>
                <w:rFonts w:ascii="Arial" w:hAnsi="Arial" w:cs="Arial"/>
              </w:rPr>
            </w:pPr>
          </w:p>
        </w:tc>
      </w:tr>
      <w:tr w:rsidR="005056DC" w:rsidRPr="006F3813" w:rsidTr="00127E6C">
        <w:trPr>
          <w:trHeight w:val="382"/>
        </w:trPr>
        <w:tc>
          <w:tcPr>
            <w:tcW w:w="0" w:type="auto"/>
            <w:shd w:val="clear" w:color="auto" w:fill="E0E0E0"/>
            <w:vAlign w:val="center"/>
          </w:tcPr>
          <w:p w:rsidR="005056DC" w:rsidRPr="006F3813" w:rsidRDefault="005056DC" w:rsidP="004114F6">
            <w:pPr>
              <w:rPr>
                <w:rFonts w:ascii="Arial" w:hAnsi="Arial" w:cs="Arial"/>
                <w:b/>
                <w:bCs/>
              </w:rPr>
            </w:pPr>
            <w:r w:rsidRPr="006F3813">
              <w:rPr>
                <w:rFonts w:ascii="Arial" w:hAnsi="Arial" w:cs="Arial"/>
                <w:b/>
                <w:bCs/>
              </w:rPr>
              <w:t>Department:</w:t>
            </w:r>
          </w:p>
        </w:tc>
        <w:tc>
          <w:tcPr>
            <w:tcW w:w="8733" w:type="dxa"/>
            <w:gridSpan w:val="3"/>
            <w:vAlign w:val="center"/>
          </w:tcPr>
          <w:p w:rsidR="005056DC" w:rsidRPr="006F3813" w:rsidRDefault="005056DC" w:rsidP="004114F6">
            <w:pPr>
              <w:rPr>
                <w:rFonts w:ascii="Arial" w:hAnsi="Arial" w:cs="Arial"/>
              </w:rPr>
            </w:pP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302"/>
        </w:trPr>
        <w:tc>
          <w:tcPr>
            <w:tcW w:w="10456"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pStyle w:val="Heading4"/>
              <w:rPr>
                <w:rFonts w:ascii="Arial" w:hAnsi="Arial" w:cs="Arial"/>
                <w:b w:val="0"/>
                <w:sz w:val="24"/>
                <w:szCs w:val="24"/>
              </w:rPr>
            </w:pPr>
            <w:r w:rsidRPr="006F3813">
              <w:rPr>
                <w:rFonts w:ascii="Arial" w:hAnsi="Arial" w:cs="Arial"/>
                <w:sz w:val="24"/>
                <w:szCs w:val="24"/>
              </w:rPr>
              <w:t>Subject of Assessment:</w:t>
            </w:r>
            <w:r w:rsidRPr="006F3813">
              <w:rPr>
                <w:rFonts w:ascii="Arial" w:hAnsi="Arial" w:cs="Arial"/>
                <w:b w:val="0"/>
                <w:sz w:val="24"/>
                <w:szCs w:val="24"/>
              </w:rPr>
              <w:t xml:space="preserve"> </w:t>
            </w:r>
            <w:r w:rsidRPr="006F3813">
              <w:rPr>
                <w:rFonts w:ascii="Arial" w:hAnsi="Arial" w:cs="Arial"/>
                <w:sz w:val="24"/>
                <w:szCs w:val="24"/>
              </w:rPr>
              <w:t>Consider Task or Environment.</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251"/>
        </w:trPr>
        <w:tc>
          <w:tcPr>
            <w:tcW w:w="10456" w:type="dxa"/>
            <w:gridSpan w:val="4"/>
            <w:tcBorders>
              <w:top w:val="single" w:sz="4" w:space="0" w:color="auto"/>
              <w:left w:val="single" w:sz="4" w:space="0" w:color="auto"/>
              <w:bottom w:val="single" w:sz="4" w:space="0" w:color="auto"/>
              <w:right w:val="single" w:sz="4" w:space="0" w:color="auto"/>
            </w:tcBorders>
          </w:tcPr>
          <w:p w:rsidR="006F3813" w:rsidRPr="003E4C42" w:rsidRDefault="003E4C42" w:rsidP="004114F6">
            <w:pPr>
              <w:rPr>
                <w:rFonts w:ascii="Arial" w:hAnsi="Arial" w:cs="Arial"/>
              </w:rPr>
            </w:pPr>
            <w:r w:rsidRPr="003E4C42">
              <w:rPr>
                <w:rFonts w:ascii="Arial" w:hAnsi="Arial" w:cs="Arial"/>
              </w:rPr>
              <w:t xml:space="preserve">Sub Cut Fluids </w:t>
            </w:r>
          </w:p>
          <w:p w:rsidR="00E50C5F" w:rsidRPr="003E4C42" w:rsidRDefault="00E50C5F" w:rsidP="004114F6">
            <w:pPr>
              <w:rPr>
                <w:rFonts w:ascii="Arial" w:hAnsi="Arial" w:cs="Arial"/>
              </w:rPr>
            </w:pPr>
          </w:p>
          <w:p w:rsidR="00E50C5F" w:rsidRPr="003E4C42" w:rsidRDefault="003E4C42" w:rsidP="004114F6">
            <w:pPr>
              <w:rPr>
                <w:rFonts w:ascii="Arial" w:hAnsi="Arial" w:cs="Arial"/>
              </w:rPr>
            </w:pPr>
            <w:r w:rsidRPr="003E4C42">
              <w:rPr>
                <w:rFonts w:ascii="Arial" w:hAnsi="Arial" w:cs="Arial"/>
              </w:rPr>
              <w:t xml:space="preserve">Safer device available and in use </w:t>
            </w:r>
          </w:p>
          <w:p w:rsidR="00581A16" w:rsidRPr="006F3813" w:rsidRDefault="00581A16" w:rsidP="004114F6">
            <w:pPr>
              <w:rPr>
                <w:rFonts w:ascii="Arial" w:hAnsi="Arial" w:cs="Arial"/>
              </w:rPr>
            </w:pPr>
          </w:p>
          <w:p w:rsidR="00CD1F8E" w:rsidRPr="006F3813" w:rsidRDefault="006F3813" w:rsidP="00581A16">
            <w:pPr>
              <w:rPr>
                <w:rFonts w:ascii="Arial" w:hAnsi="Arial" w:cs="Arial"/>
                <w:b/>
              </w:rPr>
            </w:pPr>
            <w:r w:rsidRPr="006F3813">
              <w:rPr>
                <w:rFonts w:ascii="Arial" w:hAnsi="Arial" w:cs="Arial"/>
                <w:b/>
              </w:rPr>
              <w:t>Note: If there is a clinical ration</w:t>
            </w:r>
            <w:r w:rsidR="00872EE6">
              <w:rPr>
                <w:rFonts w:ascii="Arial" w:hAnsi="Arial" w:cs="Arial"/>
                <w:b/>
              </w:rPr>
              <w:t xml:space="preserve">ale for not using </w:t>
            </w:r>
            <w:r w:rsidR="00581A16">
              <w:rPr>
                <w:rFonts w:ascii="Arial" w:hAnsi="Arial" w:cs="Arial"/>
                <w:b/>
              </w:rPr>
              <w:t>a safety device</w:t>
            </w:r>
            <w:r w:rsidRPr="006F3813">
              <w:rPr>
                <w:rFonts w:ascii="Arial" w:hAnsi="Arial" w:cs="Arial"/>
                <w:b/>
              </w:rPr>
              <w:t xml:space="preserve"> </w:t>
            </w:r>
            <w:r w:rsidR="00E50C5F">
              <w:rPr>
                <w:rFonts w:ascii="Arial" w:hAnsi="Arial" w:cs="Arial"/>
                <w:b/>
              </w:rPr>
              <w:t xml:space="preserve">when one is available </w:t>
            </w:r>
            <w:r w:rsidRPr="006F3813">
              <w:rPr>
                <w:rFonts w:ascii="Arial" w:hAnsi="Arial" w:cs="Arial"/>
                <w:b/>
              </w:rPr>
              <w:t>then you must complete the  Clinical Rationale for the Use of Non Safety Devices Form</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334"/>
        </w:trPr>
        <w:tc>
          <w:tcPr>
            <w:tcW w:w="10456"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pStyle w:val="Heading4"/>
              <w:rPr>
                <w:rFonts w:ascii="Arial" w:hAnsi="Arial" w:cs="Arial"/>
                <w:b w:val="0"/>
                <w:sz w:val="24"/>
                <w:szCs w:val="24"/>
              </w:rPr>
            </w:pPr>
            <w:r w:rsidRPr="006F3813">
              <w:rPr>
                <w:rFonts w:ascii="Arial" w:hAnsi="Arial" w:cs="Arial"/>
                <w:sz w:val="24"/>
                <w:szCs w:val="24"/>
              </w:rPr>
              <w:t>Step 1:  What are the Hazards?</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450"/>
        </w:trPr>
        <w:tc>
          <w:tcPr>
            <w:tcW w:w="10456" w:type="dxa"/>
            <w:gridSpan w:val="4"/>
            <w:tcBorders>
              <w:top w:val="single" w:sz="4" w:space="0" w:color="auto"/>
              <w:left w:val="single" w:sz="4" w:space="0" w:color="auto"/>
              <w:bottom w:val="single" w:sz="4" w:space="0" w:color="auto"/>
              <w:right w:val="single" w:sz="4" w:space="0" w:color="auto"/>
            </w:tcBorders>
          </w:tcPr>
          <w:p w:rsidR="005056DC" w:rsidRPr="006F3813" w:rsidRDefault="005056DC" w:rsidP="004114F6">
            <w:pPr>
              <w:rPr>
                <w:rFonts w:ascii="Arial" w:hAnsi="Arial" w:cs="Arial"/>
              </w:rPr>
            </w:pPr>
            <w:r w:rsidRPr="006F3813">
              <w:rPr>
                <w:rFonts w:ascii="Arial" w:hAnsi="Arial" w:cs="Arial"/>
              </w:rPr>
              <w:t>Blood or body fluid contaminated needles</w:t>
            </w:r>
          </w:p>
          <w:p w:rsidR="005056DC" w:rsidRDefault="005056DC" w:rsidP="00247B76">
            <w:pPr>
              <w:rPr>
                <w:rFonts w:ascii="Arial" w:hAnsi="Arial" w:cs="Arial"/>
              </w:rPr>
            </w:pPr>
            <w:r w:rsidRPr="006F3813">
              <w:rPr>
                <w:rFonts w:ascii="Arial" w:hAnsi="Arial" w:cs="Arial"/>
              </w:rPr>
              <w:t xml:space="preserve">Sharps injury with puncture wounds and or cuts with potential transmission of blood </w:t>
            </w:r>
            <w:proofErr w:type="gramStart"/>
            <w:r w:rsidRPr="006F3813">
              <w:rPr>
                <w:rFonts w:ascii="Arial" w:hAnsi="Arial" w:cs="Arial"/>
              </w:rPr>
              <w:t>born</w:t>
            </w:r>
            <w:r w:rsidR="003A4C16" w:rsidRPr="006F3813">
              <w:rPr>
                <w:rFonts w:ascii="Arial" w:hAnsi="Arial" w:cs="Arial"/>
              </w:rPr>
              <w:t xml:space="preserve">e </w:t>
            </w:r>
            <w:r w:rsidRPr="006F3813">
              <w:rPr>
                <w:rFonts w:ascii="Arial" w:hAnsi="Arial" w:cs="Arial"/>
              </w:rPr>
              <w:t xml:space="preserve"> viruses</w:t>
            </w:r>
            <w:proofErr w:type="gramEnd"/>
            <w:r w:rsidRPr="006F3813">
              <w:rPr>
                <w:rFonts w:ascii="Arial" w:hAnsi="Arial" w:cs="Arial"/>
              </w:rPr>
              <w:t>.</w:t>
            </w:r>
          </w:p>
          <w:p w:rsidR="003E4C42" w:rsidRPr="006F3813" w:rsidRDefault="003E4C42" w:rsidP="00247B76">
            <w:pPr>
              <w:rPr>
                <w:rFonts w:ascii="Arial" w:hAnsi="Arial" w:cs="Arial"/>
              </w:rPr>
            </w:pPr>
            <w:r>
              <w:rPr>
                <w:rFonts w:ascii="Arial" w:hAnsi="Arial" w:cs="Arial"/>
              </w:rPr>
              <w:t xml:space="preserve">Patient compliance </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hRule="exact" w:val="488"/>
        </w:trPr>
        <w:tc>
          <w:tcPr>
            <w:tcW w:w="10456" w:type="dxa"/>
            <w:gridSpan w:val="4"/>
            <w:tcBorders>
              <w:top w:val="single" w:sz="4" w:space="0" w:color="auto"/>
              <w:left w:val="single" w:sz="4" w:space="0" w:color="auto"/>
              <w:bottom w:val="single" w:sz="4" w:space="0" w:color="auto"/>
              <w:right w:val="single" w:sz="4" w:space="0" w:color="auto"/>
            </w:tcBorders>
            <w:shd w:val="clear" w:color="auto" w:fill="E6E6E6"/>
          </w:tcPr>
          <w:p w:rsidR="005056DC" w:rsidRPr="006F3813" w:rsidRDefault="005056DC" w:rsidP="004114F6">
            <w:pPr>
              <w:jc w:val="both"/>
              <w:rPr>
                <w:rFonts w:ascii="Arial" w:hAnsi="Arial" w:cs="Arial"/>
                <w:bCs/>
                <w:highlight w:val="yellow"/>
              </w:rPr>
            </w:pPr>
            <w:r w:rsidRPr="006F3813">
              <w:rPr>
                <w:rFonts w:ascii="Arial" w:hAnsi="Arial" w:cs="Arial"/>
                <w:b/>
              </w:rPr>
              <w:t xml:space="preserve">Step 2:  Who might be harmed and how? </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688"/>
        </w:trPr>
        <w:tc>
          <w:tcPr>
            <w:tcW w:w="10456" w:type="dxa"/>
            <w:gridSpan w:val="4"/>
            <w:tcBorders>
              <w:top w:val="single" w:sz="4" w:space="0" w:color="auto"/>
              <w:left w:val="single" w:sz="4" w:space="0" w:color="auto"/>
              <w:bottom w:val="single" w:sz="4" w:space="0" w:color="auto"/>
              <w:right w:val="single" w:sz="4" w:space="0" w:color="auto"/>
            </w:tcBorders>
          </w:tcPr>
          <w:p w:rsidR="005056DC" w:rsidRPr="006F3813" w:rsidRDefault="005056DC" w:rsidP="004114F6">
            <w:pPr>
              <w:jc w:val="both"/>
              <w:rPr>
                <w:rFonts w:ascii="Arial" w:hAnsi="Arial" w:cs="Arial"/>
                <w:bCs/>
              </w:rPr>
            </w:pPr>
            <w:r w:rsidRPr="006F3813">
              <w:rPr>
                <w:rFonts w:ascii="Arial" w:hAnsi="Arial" w:cs="Arial"/>
                <w:bCs/>
              </w:rPr>
              <w:t>Health care staff</w:t>
            </w:r>
            <w:r w:rsidR="00062118">
              <w:rPr>
                <w:rFonts w:ascii="Arial" w:hAnsi="Arial" w:cs="Arial"/>
                <w:bCs/>
              </w:rPr>
              <w:t xml:space="preserve"> and patients</w:t>
            </w:r>
            <w:r w:rsidRPr="006F3813">
              <w:rPr>
                <w:rFonts w:ascii="Arial" w:hAnsi="Arial" w:cs="Arial"/>
                <w:bCs/>
              </w:rPr>
              <w:t xml:space="preserve"> – during direct patient contact whilst undertaking </w:t>
            </w:r>
            <w:r w:rsidR="00247B76" w:rsidRPr="006F3813">
              <w:rPr>
                <w:rFonts w:ascii="Arial" w:hAnsi="Arial" w:cs="Arial"/>
                <w:bCs/>
              </w:rPr>
              <w:t>procedure</w:t>
            </w:r>
          </w:p>
          <w:p w:rsidR="005056DC" w:rsidRPr="006F3813" w:rsidRDefault="000D7F64" w:rsidP="004114F6">
            <w:pPr>
              <w:jc w:val="both"/>
              <w:rPr>
                <w:rFonts w:ascii="Arial" w:hAnsi="Arial" w:cs="Arial"/>
                <w:bCs/>
              </w:rPr>
            </w:pPr>
            <w:r>
              <w:rPr>
                <w:rFonts w:ascii="Arial" w:hAnsi="Arial" w:cs="Arial"/>
                <w:bCs/>
              </w:rPr>
              <w:t>Healthcare Staff, Soft and H</w:t>
            </w:r>
            <w:r w:rsidR="005056DC" w:rsidRPr="006F3813">
              <w:rPr>
                <w:rFonts w:ascii="Arial" w:hAnsi="Arial" w:cs="Arial"/>
                <w:bCs/>
              </w:rPr>
              <w:t>ard FM staff and contractors –as a result of  incorrect disposal</w:t>
            </w:r>
          </w:p>
          <w:p w:rsidR="005056DC" w:rsidRPr="006F3813" w:rsidRDefault="005056DC" w:rsidP="004114F6">
            <w:pPr>
              <w:jc w:val="both"/>
              <w:rPr>
                <w:rFonts w:ascii="Arial" w:hAnsi="Arial" w:cs="Arial"/>
                <w:bCs/>
              </w:rPr>
            </w:pPr>
            <w:r w:rsidRPr="006F3813">
              <w:rPr>
                <w:rFonts w:ascii="Arial" w:hAnsi="Arial" w:cs="Arial"/>
                <w:bCs/>
              </w:rPr>
              <w:t>Patients, relatives –as a result of incorrect disposal</w:t>
            </w:r>
          </w:p>
        </w:tc>
      </w:tr>
      <w:tr w:rsidR="005056DC" w:rsidRPr="006F3813" w:rsidTr="00127E6C">
        <w:tblPrEx>
          <w:tblBorders>
            <w:top w:val="none" w:sz="0" w:space="0" w:color="auto"/>
            <w:left w:val="none" w:sz="0" w:space="0" w:color="auto"/>
            <w:bottom w:val="none" w:sz="0" w:space="0" w:color="auto"/>
            <w:right w:val="none" w:sz="0" w:space="0" w:color="auto"/>
          </w:tblBorders>
        </w:tblPrEx>
        <w:trPr>
          <w:trHeight w:val="233"/>
        </w:trPr>
        <w:tc>
          <w:tcPr>
            <w:tcW w:w="10456" w:type="dxa"/>
            <w:gridSpan w:val="4"/>
            <w:tcBorders>
              <w:top w:val="single" w:sz="4" w:space="0" w:color="auto"/>
              <w:left w:val="single" w:sz="4" w:space="0" w:color="auto"/>
              <w:bottom w:val="single" w:sz="4" w:space="0" w:color="auto"/>
              <w:right w:val="single" w:sz="4" w:space="0" w:color="auto"/>
            </w:tcBorders>
            <w:shd w:val="clear" w:color="auto" w:fill="E0E0E0"/>
          </w:tcPr>
          <w:p w:rsidR="00E50C5F" w:rsidRPr="00E50C5F" w:rsidRDefault="005056DC" w:rsidP="004114F6">
            <w:pPr>
              <w:rPr>
                <w:rFonts w:ascii="Arial" w:hAnsi="Arial" w:cs="Arial"/>
                <w:b/>
              </w:rPr>
            </w:pPr>
            <w:r w:rsidRPr="006F3813">
              <w:rPr>
                <w:rFonts w:ascii="Arial" w:hAnsi="Arial" w:cs="Arial"/>
                <w:b/>
              </w:rPr>
              <w:t>Step 3: What are you already doing?  (Existing Precautions)</w:t>
            </w:r>
          </w:p>
        </w:tc>
      </w:tr>
      <w:tr w:rsidR="00C730EA" w:rsidRPr="006F3813" w:rsidTr="00127E6C">
        <w:tblPrEx>
          <w:tblBorders>
            <w:top w:val="none" w:sz="0" w:space="0" w:color="auto"/>
            <w:left w:val="none" w:sz="0" w:space="0" w:color="auto"/>
            <w:bottom w:val="none" w:sz="0" w:space="0" w:color="auto"/>
            <w:right w:val="none" w:sz="0" w:space="0" w:color="auto"/>
          </w:tblBorders>
        </w:tblPrEx>
        <w:trPr>
          <w:trHeight w:val="233"/>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rsidR="00C730EA" w:rsidRPr="00E50C5F" w:rsidRDefault="004D2063" w:rsidP="00C730EA">
            <w:pPr>
              <w:rPr>
                <w:rFonts w:ascii="Arial" w:hAnsi="Arial" w:cs="Arial"/>
                <w:bCs/>
                <w:color w:val="FF0000"/>
              </w:rPr>
            </w:pPr>
            <w:r>
              <w:rPr>
                <w:rFonts w:ascii="Arial" w:hAnsi="Arial" w:cs="Arial"/>
                <w:bCs/>
                <w:color w:val="FF0000"/>
              </w:rPr>
              <w:t>Amend to suit local needs</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All staff must understand the requirements of the Clinical Sharps Policy</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Occupational Health – Immunisation programme</w:t>
            </w:r>
          </w:p>
          <w:p w:rsidR="00C730EA" w:rsidRPr="006F3813" w:rsidRDefault="00C730EA" w:rsidP="00C730EA">
            <w:pPr>
              <w:numPr>
                <w:ilvl w:val="0"/>
                <w:numId w:val="1"/>
              </w:numPr>
              <w:ind w:left="426" w:hanging="426"/>
              <w:rPr>
                <w:rFonts w:ascii="Arial" w:hAnsi="Arial" w:cs="Arial"/>
                <w:bCs/>
              </w:rPr>
            </w:pPr>
            <w:r w:rsidRPr="006F3813">
              <w:rPr>
                <w:rFonts w:ascii="Arial" w:hAnsi="Arial" w:cs="Arial"/>
                <w:bCs/>
              </w:rPr>
              <w:t>All staff to complete HAI Learn Pro Module</w:t>
            </w:r>
          </w:p>
          <w:p w:rsidR="00C730EA" w:rsidRPr="006F3813" w:rsidRDefault="00C730EA" w:rsidP="00C730EA">
            <w:pPr>
              <w:numPr>
                <w:ilvl w:val="0"/>
                <w:numId w:val="1"/>
              </w:numPr>
              <w:ind w:left="426" w:hanging="426"/>
              <w:rPr>
                <w:rFonts w:ascii="Arial" w:hAnsi="Arial" w:cs="Arial"/>
              </w:rPr>
            </w:pPr>
            <w:r w:rsidRPr="006F3813">
              <w:rPr>
                <w:rFonts w:ascii="Arial" w:hAnsi="Arial" w:cs="Arial"/>
                <w:bCs/>
              </w:rPr>
              <w:t>Staff must ensure that all sharps containers are assembled and used correctly – i.e</w:t>
            </w:r>
            <w:r>
              <w:rPr>
                <w:rFonts w:ascii="Arial" w:hAnsi="Arial" w:cs="Arial"/>
                <w:bCs/>
              </w:rPr>
              <w:t>.</w:t>
            </w:r>
            <w:r w:rsidRPr="006F3813">
              <w:rPr>
                <w:rFonts w:ascii="Arial" w:hAnsi="Arial" w:cs="Arial"/>
                <w:bCs/>
              </w:rPr>
              <w:t xml:space="preserve"> complete the label and do not over fill</w:t>
            </w:r>
          </w:p>
          <w:p w:rsidR="00C730EA" w:rsidRPr="006F3813" w:rsidRDefault="00C730EA" w:rsidP="00C730EA">
            <w:pPr>
              <w:numPr>
                <w:ilvl w:val="0"/>
                <w:numId w:val="1"/>
              </w:numPr>
              <w:ind w:left="426" w:hanging="426"/>
              <w:rPr>
                <w:rFonts w:ascii="Arial" w:hAnsi="Arial" w:cs="Arial"/>
              </w:rPr>
            </w:pPr>
            <w:r w:rsidRPr="006F3813">
              <w:rPr>
                <w:rFonts w:ascii="Arial" w:hAnsi="Arial" w:cs="Arial"/>
                <w:bCs/>
              </w:rPr>
              <w:t xml:space="preserve">Sharps </w:t>
            </w:r>
            <w:r w:rsidRPr="006F3813">
              <w:rPr>
                <w:rFonts w:ascii="Arial" w:hAnsi="Arial" w:cs="Arial"/>
              </w:rPr>
              <w:t xml:space="preserve">boxes are to be </w:t>
            </w:r>
            <w:r>
              <w:rPr>
                <w:rFonts w:ascii="Arial" w:hAnsi="Arial" w:cs="Arial"/>
              </w:rPr>
              <w:t>taken to</w:t>
            </w:r>
            <w:r w:rsidRPr="006F3813">
              <w:rPr>
                <w:rFonts w:ascii="Arial" w:hAnsi="Arial" w:cs="Arial"/>
              </w:rPr>
              <w:t xml:space="preserve"> the point of use</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Temporary closure to in place when sharps bin not being used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Posters with the procedure for the management of needle stick injuries are displayed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 xml:space="preserve">Compliance with Clinical Waste Policy – segregation and waste disposal. Clear lid of safety needle and packaging goes in the normal domestic waste unless contaminated then it goes into the clinical waste. Clinical sharps bins are to be disposed </w:t>
            </w:r>
            <w:r w:rsidRPr="006F3813">
              <w:rPr>
                <w:rFonts w:ascii="Arial" w:hAnsi="Arial" w:cs="Arial"/>
                <w:iCs/>
              </w:rPr>
              <w:t>3 months from date on box or on reaching the fill line, whichever is first.</w:t>
            </w:r>
          </w:p>
          <w:p w:rsidR="00C730EA" w:rsidRPr="006F3813" w:rsidRDefault="00C730EA" w:rsidP="00C730EA">
            <w:pPr>
              <w:pStyle w:val="Footer"/>
              <w:numPr>
                <w:ilvl w:val="0"/>
                <w:numId w:val="1"/>
              </w:numPr>
              <w:tabs>
                <w:tab w:val="clear" w:pos="4153"/>
                <w:tab w:val="clear" w:pos="8306"/>
                <w:tab w:val="right" w:pos="284"/>
              </w:tabs>
              <w:ind w:left="426" w:hanging="426"/>
              <w:rPr>
                <w:rFonts w:ascii="Arial" w:hAnsi="Arial" w:cs="Arial"/>
              </w:rPr>
            </w:pPr>
            <w:r w:rsidRPr="006F3813">
              <w:rPr>
                <w:rFonts w:ascii="Arial" w:hAnsi="Arial" w:cs="Arial"/>
              </w:rPr>
              <w:t>Observation of staff practice on a ongoing basis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Staff provided with ‘</w:t>
            </w:r>
            <w:proofErr w:type="spellStart"/>
            <w:r w:rsidRPr="006F3813">
              <w:rPr>
                <w:rFonts w:ascii="Arial" w:hAnsi="Arial" w:cs="Arial"/>
              </w:rPr>
              <w:t>needlestick</w:t>
            </w:r>
            <w:proofErr w:type="spellEnd"/>
            <w:r w:rsidRPr="006F3813">
              <w:rPr>
                <w:rFonts w:ascii="Arial" w:hAnsi="Arial" w:cs="Arial"/>
              </w:rPr>
              <w:t xml:space="preserve">’ cards, to prompt them in the OH process if </w:t>
            </w:r>
            <w:proofErr w:type="spellStart"/>
            <w:r w:rsidRPr="006F3813">
              <w:rPr>
                <w:rFonts w:ascii="Arial" w:hAnsi="Arial" w:cs="Arial"/>
              </w:rPr>
              <w:t>needlestick</w:t>
            </w:r>
            <w:proofErr w:type="spellEnd"/>
            <w:r w:rsidRPr="006F3813">
              <w:rPr>
                <w:rFonts w:ascii="Arial" w:hAnsi="Arial" w:cs="Arial"/>
              </w:rPr>
              <w:t xml:space="preserve"> injury occurs </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Adequate lighting levels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First aid arrangements in the ward</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BBV policies and procedures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Adverse event  Policy – record and review adverse events on DATIX</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V&amp;A/Purple Pack risk assessment and use of restraint</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Gloves</w:t>
            </w:r>
            <w:r>
              <w:rPr>
                <w:rFonts w:ascii="Arial" w:hAnsi="Arial" w:cs="Arial"/>
              </w:rPr>
              <w:t xml:space="preserve"> and apron</w:t>
            </w:r>
            <w:r w:rsidRPr="006F3813">
              <w:rPr>
                <w:rFonts w:ascii="Arial" w:hAnsi="Arial" w:cs="Arial"/>
              </w:rPr>
              <w:t>s provided and to be worn (note use of an apron not always appropriate during use of restraint)</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 xml:space="preserve">Monitoring – </w:t>
            </w:r>
            <w:proofErr w:type="spellStart"/>
            <w:r w:rsidRPr="006F3813">
              <w:rPr>
                <w:rFonts w:ascii="Arial" w:hAnsi="Arial" w:cs="Arial"/>
              </w:rPr>
              <w:t>QuiDs</w:t>
            </w:r>
            <w:proofErr w:type="spellEnd"/>
            <w:r w:rsidRPr="006F3813">
              <w:rPr>
                <w:rFonts w:ascii="Arial" w:hAnsi="Arial" w:cs="Arial"/>
              </w:rPr>
              <w:t xml:space="preserve"> audits, Quarterly review process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Cleanup blood spillages as per Infection Control manual</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COSHH Assessments for contaminated sharps</w:t>
            </w:r>
          </w:p>
          <w:p w:rsidR="00C730EA" w:rsidRPr="006F3813" w:rsidRDefault="00C730EA" w:rsidP="00C730EA">
            <w:pPr>
              <w:numPr>
                <w:ilvl w:val="0"/>
                <w:numId w:val="1"/>
              </w:numPr>
              <w:ind w:left="426" w:hanging="426"/>
              <w:rPr>
                <w:rFonts w:ascii="Arial" w:hAnsi="Arial" w:cs="Arial"/>
              </w:rPr>
            </w:pPr>
            <w:r w:rsidRPr="006F3813">
              <w:rPr>
                <w:rFonts w:ascii="Arial" w:hAnsi="Arial" w:cs="Arial"/>
              </w:rPr>
              <w:t>See COSHH Assessment for HAZ Tabs to be used for cleaning up blood spillages</w:t>
            </w:r>
          </w:p>
          <w:p w:rsidR="00C730EA" w:rsidRDefault="00C730EA" w:rsidP="00C730EA">
            <w:pPr>
              <w:numPr>
                <w:ilvl w:val="0"/>
                <w:numId w:val="1"/>
              </w:numPr>
              <w:ind w:left="426" w:hanging="426"/>
              <w:rPr>
                <w:rFonts w:ascii="Arial" w:hAnsi="Arial" w:cs="Arial"/>
              </w:rPr>
            </w:pPr>
            <w:r w:rsidRPr="006F3813">
              <w:rPr>
                <w:rFonts w:ascii="Arial" w:hAnsi="Arial" w:cs="Arial"/>
              </w:rPr>
              <w:t>Display Lothian Blood Spills Poster</w:t>
            </w:r>
          </w:p>
          <w:p w:rsidR="00C730EA" w:rsidRPr="003E4C42" w:rsidRDefault="00C730EA" w:rsidP="00C730EA">
            <w:pPr>
              <w:numPr>
                <w:ilvl w:val="0"/>
                <w:numId w:val="1"/>
              </w:numPr>
              <w:ind w:left="426" w:hanging="426"/>
              <w:rPr>
                <w:rFonts w:ascii="Arial" w:hAnsi="Arial" w:cs="Arial"/>
              </w:rPr>
            </w:pPr>
            <w:r>
              <w:rPr>
                <w:rFonts w:ascii="Arial" w:hAnsi="Arial" w:cs="Arial"/>
                <w:szCs w:val="23"/>
              </w:rPr>
              <w:t xml:space="preserve">Competency assessments/training– </w:t>
            </w:r>
            <w:r w:rsidR="003E4C42" w:rsidRPr="003E4C42">
              <w:rPr>
                <w:rFonts w:ascii="Arial" w:hAnsi="Arial" w:cs="Arial"/>
                <w:szCs w:val="23"/>
              </w:rPr>
              <w:t>Registered nurse professional training</w:t>
            </w:r>
            <w:r w:rsidR="003E4C42" w:rsidRPr="003E4C42">
              <w:rPr>
                <w:rFonts w:ascii="Arial" w:hAnsi="Arial" w:cs="Arial"/>
                <w:color w:val="FF0000"/>
                <w:szCs w:val="23"/>
              </w:rPr>
              <w:t xml:space="preserve"> </w:t>
            </w:r>
          </w:p>
          <w:p w:rsidR="00C730EA" w:rsidRDefault="003E4C42" w:rsidP="00C730EA">
            <w:pPr>
              <w:numPr>
                <w:ilvl w:val="0"/>
                <w:numId w:val="1"/>
              </w:numPr>
              <w:ind w:left="426" w:hanging="426"/>
              <w:rPr>
                <w:rFonts w:ascii="Arial" w:hAnsi="Arial" w:cs="Arial"/>
              </w:rPr>
            </w:pPr>
            <w:r>
              <w:rPr>
                <w:rFonts w:ascii="Arial" w:hAnsi="Arial" w:cs="Arial"/>
              </w:rPr>
              <w:lastRenderedPageBreak/>
              <w:t xml:space="preserve">Patient risk assessment and care plan </w:t>
            </w:r>
          </w:p>
          <w:p w:rsidR="004D2063" w:rsidRPr="004D2063" w:rsidRDefault="004D2063" w:rsidP="00C730EA">
            <w:pPr>
              <w:numPr>
                <w:ilvl w:val="0"/>
                <w:numId w:val="1"/>
              </w:numPr>
              <w:ind w:left="426" w:hanging="426"/>
              <w:rPr>
                <w:rFonts w:ascii="Arial" w:hAnsi="Arial" w:cs="Arial"/>
                <w:color w:val="FF0000"/>
              </w:rPr>
            </w:pPr>
            <w:r w:rsidRPr="004D2063">
              <w:rPr>
                <w:rFonts w:ascii="Arial" w:hAnsi="Arial" w:cs="Arial"/>
                <w:color w:val="FF0000"/>
              </w:rPr>
              <w:t>Add in any other control measures</w:t>
            </w:r>
          </w:p>
          <w:p w:rsidR="00C730EA" w:rsidRPr="006F3813" w:rsidRDefault="00C730EA" w:rsidP="00C730EA">
            <w:pPr>
              <w:rPr>
                <w:rFonts w:ascii="Arial" w:hAnsi="Arial" w:cs="Arial"/>
                <w:b/>
              </w:rPr>
            </w:pPr>
          </w:p>
        </w:tc>
      </w:tr>
    </w:tbl>
    <w:p w:rsidR="005056DC" w:rsidRPr="006F3813" w:rsidRDefault="00162776" w:rsidP="005056DC">
      <w:pPr>
        <w:rPr>
          <w:rFonts w:ascii="Arial" w:hAnsi="Arial" w:cs="Arial"/>
          <w:b/>
          <w:bCs/>
        </w:rPr>
      </w:pPr>
      <w:r w:rsidRPr="00162776">
        <w:rPr>
          <w:rFonts w:ascii="Arial" w:hAnsi="Arial" w:cs="Arial"/>
          <w:b/>
          <w:noProof/>
          <w:lang w:eastAsia="en-GB"/>
        </w:rPr>
        <w:lastRenderedPageBreak/>
        <w:pict>
          <v:shapetype id="_x0000_t202" coordsize="21600,21600" o:spt="202" path="m,l,21600r21600,l21600,xe">
            <v:stroke joinstyle="miter"/>
            <v:path gradientshapeok="t" o:connecttype="rect"/>
          </v:shapetype>
          <v:shape id="_x0000_s1029" type="#_x0000_t202" style="position:absolute;margin-left:331.5pt;margin-top:6.75pt;width:77.25pt;height:25.15pt;z-index:251659776;mso-position-horizontal-relative:text;mso-position-vertical-relative:text" fillcolor="red">
            <v:textbox style="mso-next-textbox:#_x0000_s1029">
              <w:txbxContent>
                <w:p w:rsidR="00E50C5F" w:rsidRDefault="004D2063" w:rsidP="003E4C42">
                  <w:r>
                    <w:t>Red</w:t>
                  </w:r>
                </w:p>
              </w:txbxContent>
            </v:textbox>
          </v:shape>
        </w:pict>
      </w:r>
      <w:r w:rsidRPr="00162776">
        <w:rPr>
          <w:rFonts w:ascii="Arial" w:hAnsi="Arial" w:cs="Arial"/>
          <w:b/>
          <w:noProof/>
          <w:lang w:eastAsia="en-GB"/>
        </w:rPr>
        <w:pict>
          <v:shape id="_x0000_s1028" type="#_x0000_t202" style="position:absolute;margin-left:247.5pt;margin-top:6.75pt;width:76.15pt;height:25.15pt;z-index:251658752;mso-position-horizontal-relative:text;mso-position-vertical-relative:text" fillcolor="#ffc000">
            <v:textbox style="mso-next-textbox:#_x0000_s1028">
              <w:txbxContent>
                <w:p w:rsidR="00E50C5F" w:rsidRDefault="004D2063" w:rsidP="006F3813">
                  <w:pPr>
                    <w:jc w:val="center"/>
                  </w:pPr>
                  <w:r>
                    <w:t>Orange</w:t>
                  </w:r>
                  <w:r>
                    <w:tab/>
                  </w:r>
                </w:p>
              </w:txbxContent>
            </v:textbox>
          </v:shape>
        </w:pict>
      </w:r>
      <w:r w:rsidRPr="00162776">
        <w:rPr>
          <w:rFonts w:ascii="Arial" w:hAnsi="Arial" w:cs="Arial"/>
          <w:b/>
          <w:noProof/>
          <w:lang w:val="en-US"/>
        </w:rPr>
        <w:pict>
          <v:shape id="_x0000_s1026" type="#_x0000_t202" style="position:absolute;margin-left:168pt;margin-top:6.75pt;width:69.4pt;height:25.15pt;z-index:251656704;mso-position-horizontal-relative:text;mso-position-vertical-relative:text" fillcolor="yellow">
            <v:textbox style="mso-next-textbox:#_x0000_s1026">
              <w:txbxContent>
                <w:p w:rsidR="00E50C5F" w:rsidRDefault="00E50C5F" w:rsidP="005056DC">
                  <w:pPr>
                    <w:jc w:val="center"/>
                  </w:pPr>
                  <w:r>
                    <w:rPr>
                      <w:rFonts w:ascii="Gill Sans MT" w:hAnsi="Gill Sans MT"/>
                    </w:rPr>
                    <w:t>Yellow</w:t>
                  </w:r>
                </w:p>
              </w:txbxContent>
            </v:textbox>
          </v:shape>
        </w:pict>
      </w:r>
      <w:r w:rsidRPr="00162776">
        <w:rPr>
          <w:rFonts w:ascii="Arial" w:hAnsi="Arial" w:cs="Arial"/>
          <w:bCs/>
          <w:noProof/>
          <w:lang w:eastAsia="en-GB"/>
        </w:rPr>
        <w:pict>
          <v:shape id="_x0000_s1027" type="#_x0000_t202" style="position:absolute;margin-left:74.65pt;margin-top:6.75pt;width:82.85pt;height:25.15pt;z-index:251657728;mso-position-horizontal-relative:text;mso-position-vertical-relative:text" fillcolor="#92d050">
            <v:textbox style="mso-next-textbox:#_x0000_s1027">
              <w:txbxContent>
                <w:p w:rsidR="00E50C5F" w:rsidRDefault="004D2063" w:rsidP="006F3813">
                  <w:pPr>
                    <w:jc w:val="center"/>
                  </w:pPr>
                  <w:r>
                    <w:t>Green</w:t>
                  </w:r>
                  <w:r>
                    <w:tab/>
                  </w:r>
                </w:p>
              </w:txbxContent>
            </v:textbox>
          </v:shape>
        </w:pict>
      </w:r>
    </w:p>
    <w:p w:rsidR="005056DC" w:rsidRPr="006F3813" w:rsidRDefault="005056DC" w:rsidP="005056DC">
      <w:pPr>
        <w:rPr>
          <w:rFonts w:ascii="Arial" w:hAnsi="Arial" w:cs="Arial"/>
          <w:b/>
          <w:bCs/>
        </w:rPr>
      </w:pPr>
      <w:r w:rsidRPr="006F3813">
        <w:rPr>
          <w:rFonts w:ascii="Arial" w:hAnsi="Arial" w:cs="Arial"/>
          <w:b/>
          <w:bCs/>
        </w:rPr>
        <w:t xml:space="preserve">Level of Risk </w:t>
      </w:r>
    </w:p>
    <w:p w:rsidR="005056DC" w:rsidRPr="006F3813" w:rsidRDefault="005056DC" w:rsidP="005056DC">
      <w:pPr>
        <w:rPr>
          <w:rFonts w:ascii="Arial" w:hAnsi="Arial" w:cs="Arial"/>
          <w:b/>
        </w:rPr>
      </w:pPr>
    </w:p>
    <w:p w:rsidR="005056DC" w:rsidRPr="006F3813" w:rsidRDefault="005056DC" w:rsidP="005056DC">
      <w:pPr>
        <w:rPr>
          <w:rFonts w:ascii="Arial" w:hAnsi="Arial" w:cs="Arial"/>
          <w:b/>
        </w:rPr>
      </w:pPr>
      <w:r w:rsidRPr="006F3813">
        <w:rPr>
          <w:rFonts w:ascii="Arial" w:hAnsi="Arial" w:cs="Arial"/>
          <w:b/>
        </w:rPr>
        <w:t>Current risk level</w:t>
      </w:r>
    </w:p>
    <w:p w:rsidR="005056DC" w:rsidRPr="006F3813" w:rsidRDefault="005056DC" w:rsidP="005056DC">
      <w:pPr>
        <w:rPr>
          <w:rFonts w:ascii="Arial" w:hAnsi="Arial" w:cs="Arial"/>
          <w:b/>
          <w:color w:val="0000FF"/>
        </w:rPr>
      </w:pPr>
      <w:bookmarkStart w:id="0" w:name="_Level_of_Risk"/>
      <w:bookmarkEnd w:id="0"/>
      <w:r w:rsidRPr="006F3813">
        <w:rPr>
          <w:rFonts w:ascii="Arial" w:hAnsi="Arial" w:cs="Arial"/>
          <w:b/>
        </w:rPr>
        <w:t xml:space="preserve">See accompanying guidance: </w:t>
      </w:r>
      <w:r w:rsidRPr="006F3813">
        <w:rPr>
          <w:rFonts w:ascii="Arial" w:hAnsi="Arial" w:cs="Arial"/>
          <w:b/>
          <w:color w:val="0000FF"/>
        </w:rPr>
        <w:t xml:space="preserve"> </w:t>
      </w:r>
      <w:hyperlink r:id="rId11" w:history="1">
        <w:r w:rsidRPr="006F3813">
          <w:rPr>
            <w:rStyle w:val="Hyperlink"/>
            <w:rFonts w:ascii="Arial" w:hAnsi="Arial" w:cs="Arial"/>
            <w:b/>
          </w:rPr>
          <w:t>Health and Safety</w:t>
        </w:r>
      </w:hyperlink>
      <w:r w:rsidRPr="006F3813">
        <w:rPr>
          <w:rFonts w:ascii="Arial" w:hAnsi="Arial" w:cs="Arial"/>
          <w:b/>
          <w:color w:val="0000FF"/>
        </w:rPr>
        <w:t xml:space="preserve">  (RIGHT CLICK TO OPEN </w:t>
      </w:r>
      <w:smartTag w:uri="urn:schemas-microsoft-com:office:smarttags" w:element="stockticker">
        <w:r w:rsidRPr="006F3813">
          <w:rPr>
            <w:rFonts w:ascii="Arial" w:hAnsi="Arial" w:cs="Arial"/>
            <w:b/>
            <w:color w:val="0000FF"/>
          </w:rPr>
          <w:t>LINK</w:t>
        </w:r>
      </w:smartTag>
      <w:r w:rsidRPr="006F3813">
        <w:rPr>
          <w:rFonts w:ascii="Arial" w:hAnsi="Arial" w:cs="Arial"/>
          <w:b/>
          <w:color w:val="0000FF"/>
        </w:rPr>
        <w:t>)</w:t>
      </w:r>
    </w:p>
    <w:p w:rsidR="005056DC" w:rsidRPr="006F3813" w:rsidRDefault="005056DC" w:rsidP="005056DC">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157"/>
        <w:gridCol w:w="2617"/>
        <w:gridCol w:w="2816"/>
      </w:tblGrid>
      <w:tr w:rsidR="005056DC" w:rsidRPr="006F3813" w:rsidTr="00C730EA">
        <w:trPr>
          <w:trHeight w:val="480"/>
        </w:trPr>
        <w:tc>
          <w:tcPr>
            <w:tcW w:w="10598" w:type="dxa"/>
            <w:gridSpan w:val="4"/>
            <w:shd w:val="clear" w:color="auto" w:fill="E6E6E6"/>
          </w:tcPr>
          <w:p w:rsidR="005056DC" w:rsidRPr="006F3813" w:rsidRDefault="005056DC" w:rsidP="004114F6">
            <w:pPr>
              <w:ind w:right="84"/>
              <w:rPr>
                <w:rFonts w:ascii="Arial" w:hAnsi="Arial" w:cs="Arial"/>
              </w:rPr>
            </w:pPr>
            <w:r w:rsidRPr="006F3813">
              <w:rPr>
                <w:rFonts w:ascii="Arial" w:hAnsi="Arial" w:cs="Arial"/>
                <w:b/>
              </w:rPr>
              <w:t>Step 4: Action Plan</w:t>
            </w:r>
            <w:r w:rsidRPr="006F3813">
              <w:rPr>
                <w:rFonts w:ascii="Arial" w:hAnsi="Arial" w:cs="Arial"/>
              </w:rPr>
              <w:t xml:space="preserve"> </w:t>
            </w:r>
          </w:p>
          <w:p w:rsidR="005056DC" w:rsidRPr="006F3813" w:rsidRDefault="005056DC" w:rsidP="004114F6">
            <w:pPr>
              <w:rPr>
                <w:rFonts w:ascii="Arial" w:hAnsi="Arial" w:cs="Arial"/>
                <w:b/>
                <w:bCs/>
              </w:rPr>
            </w:pPr>
          </w:p>
        </w:tc>
      </w:tr>
      <w:tr w:rsidR="005056DC" w:rsidRPr="006F3813" w:rsidTr="00C730EA">
        <w:trPr>
          <w:trHeight w:val="480"/>
        </w:trPr>
        <w:tc>
          <w:tcPr>
            <w:tcW w:w="4008" w:type="dxa"/>
          </w:tcPr>
          <w:p w:rsidR="005056DC" w:rsidRPr="006F3813" w:rsidRDefault="005056DC" w:rsidP="004114F6">
            <w:pPr>
              <w:rPr>
                <w:rFonts w:ascii="Arial" w:hAnsi="Arial" w:cs="Arial"/>
              </w:rPr>
            </w:pPr>
            <w:r w:rsidRPr="006F3813">
              <w:rPr>
                <w:rFonts w:ascii="Arial" w:hAnsi="Arial" w:cs="Arial"/>
                <w:b/>
                <w:bCs/>
              </w:rPr>
              <w:t>What further action is necessary?</w:t>
            </w:r>
          </w:p>
          <w:p w:rsidR="005056DC" w:rsidRPr="006F3813" w:rsidRDefault="005056DC" w:rsidP="004114F6">
            <w:pPr>
              <w:rPr>
                <w:rFonts w:ascii="Arial" w:hAnsi="Arial" w:cs="Arial"/>
              </w:rPr>
            </w:pPr>
          </w:p>
        </w:tc>
        <w:tc>
          <w:tcPr>
            <w:tcW w:w="1157" w:type="dxa"/>
          </w:tcPr>
          <w:p w:rsidR="005056DC" w:rsidRPr="006F3813" w:rsidRDefault="005056DC" w:rsidP="004114F6">
            <w:pPr>
              <w:rPr>
                <w:rFonts w:ascii="Arial" w:hAnsi="Arial" w:cs="Arial"/>
                <w:b/>
                <w:bCs/>
              </w:rPr>
            </w:pPr>
            <w:r w:rsidRPr="006F3813">
              <w:rPr>
                <w:rFonts w:ascii="Arial" w:hAnsi="Arial" w:cs="Arial"/>
                <w:b/>
                <w:bCs/>
              </w:rPr>
              <w:t>Action By Whom</w:t>
            </w:r>
          </w:p>
        </w:tc>
        <w:tc>
          <w:tcPr>
            <w:tcW w:w="2617" w:type="dxa"/>
          </w:tcPr>
          <w:p w:rsidR="005056DC" w:rsidRPr="006F3813" w:rsidRDefault="005056DC" w:rsidP="004114F6">
            <w:pPr>
              <w:rPr>
                <w:rFonts w:ascii="Arial" w:hAnsi="Arial" w:cs="Arial"/>
                <w:b/>
                <w:bCs/>
              </w:rPr>
            </w:pPr>
            <w:r w:rsidRPr="006F3813">
              <w:rPr>
                <w:rFonts w:ascii="Arial" w:hAnsi="Arial" w:cs="Arial"/>
                <w:b/>
                <w:bCs/>
              </w:rPr>
              <w:t>Action by when</w:t>
            </w:r>
          </w:p>
          <w:p w:rsidR="005056DC" w:rsidRPr="006F3813" w:rsidRDefault="005056DC" w:rsidP="004114F6">
            <w:pPr>
              <w:rPr>
                <w:rFonts w:ascii="Arial" w:hAnsi="Arial" w:cs="Arial"/>
                <w:b/>
                <w:bCs/>
              </w:rPr>
            </w:pPr>
            <w:r w:rsidRPr="006F3813">
              <w:rPr>
                <w:rFonts w:ascii="Arial" w:hAnsi="Arial" w:cs="Arial"/>
                <w:b/>
                <w:bCs/>
              </w:rPr>
              <w:t>(dd/mm/yy)</w:t>
            </w:r>
          </w:p>
        </w:tc>
        <w:tc>
          <w:tcPr>
            <w:tcW w:w="2816" w:type="dxa"/>
          </w:tcPr>
          <w:p w:rsidR="005056DC" w:rsidRPr="006F3813" w:rsidRDefault="005056DC" w:rsidP="004114F6">
            <w:pPr>
              <w:rPr>
                <w:rFonts w:ascii="Arial" w:hAnsi="Arial" w:cs="Arial"/>
                <w:b/>
                <w:bCs/>
              </w:rPr>
            </w:pPr>
            <w:r w:rsidRPr="006F3813">
              <w:rPr>
                <w:rFonts w:ascii="Arial" w:hAnsi="Arial" w:cs="Arial"/>
                <w:b/>
                <w:bCs/>
              </w:rPr>
              <w:t>Action completed.</w:t>
            </w:r>
          </w:p>
          <w:p w:rsidR="005056DC" w:rsidRPr="006F3813" w:rsidRDefault="005056DC" w:rsidP="004114F6">
            <w:pPr>
              <w:rPr>
                <w:rFonts w:ascii="Arial" w:hAnsi="Arial" w:cs="Arial"/>
                <w:b/>
                <w:bCs/>
              </w:rPr>
            </w:pPr>
            <w:r w:rsidRPr="006F3813">
              <w:rPr>
                <w:rFonts w:ascii="Arial" w:hAnsi="Arial" w:cs="Arial"/>
                <w:b/>
                <w:bCs/>
              </w:rPr>
              <w:t>(dd/mm/yy)</w:t>
            </w:r>
          </w:p>
        </w:tc>
      </w:tr>
      <w:tr w:rsidR="005056DC" w:rsidRPr="006F3813" w:rsidTr="00C730EA">
        <w:trPr>
          <w:trHeight w:val="425"/>
        </w:trPr>
        <w:tc>
          <w:tcPr>
            <w:tcW w:w="4008" w:type="dxa"/>
          </w:tcPr>
          <w:p w:rsidR="005056DC" w:rsidRPr="006F3813" w:rsidRDefault="005056DC" w:rsidP="004114F6">
            <w:pPr>
              <w:rPr>
                <w:rFonts w:ascii="Arial" w:hAnsi="Arial" w:cs="Arial"/>
              </w:rPr>
            </w:pPr>
          </w:p>
        </w:tc>
        <w:tc>
          <w:tcPr>
            <w:tcW w:w="1157" w:type="dxa"/>
          </w:tcPr>
          <w:p w:rsidR="005056DC" w:rsidRPr="006F3813" w:rsidRDefault="005056DC" w:rsidP="004114F6">
            <w:pPr>
              <w:rPr>
                <w:rFonts w:ascii="Arial" w:hAnsi="Arial" w:cs="Arial"/>
              </w:rPr>
            </w:pPr>
          </w:p>
        </w:tc>
        <w:tc>
          <w:tcPr>
            <w:tcW w:w="2617" w:type="dxa"/>
          </w:tcPr>
          <w:p w:rsidR="005056DC" w:rsidRPr="006F3813" w:rsidRDefault="005056DC" w:rsidP="004114F6">
            <w:pPr>
              <w:rPr>
                <w:rFonts w:ascii="Arial" w:hAnsi="Arial" w:cs="Arial"/>
              </w:rPr>
            </w:pPr>
          </w:p>
        </w:tc>
        <w:tc>
          <w:tcPr>
            <w:tcW w:w="2816" w:type="dxa"/>
          </w:tcPr>
          <w:p w:rsidR="005056DC" w:rsidRPr="006F3813" w:rsidRDefault="005056DC" w:rsidP="004114F6">
            <w:pPr>
              <w:rPr>
                <w:rFonts w:ascii="Arial" w:hAnsi="Arial" w:cs="Arial"/>
              </w:rPr>
            </w:pPr>
          </w:p>
        </w:tc>
      </w:tr>
      <w:tr w:rsidR="00581A16" w:rsidRPr="006F3813" w:rsidTr="00C730EA">
        <w:trPr>
          <w:trHeight w:val="425"/>
        </w:trPr>
        <w:tc>
          <w:tcPr>
            <w:tcW w:w="4008" w:type="dxa"/>
          </w:tcPr>
          <w:p w:rsidR="00581A16" w:rsidRPr="006F3813" w:rsidRDefault="00581A16" w:rsidP="004114F6">
            <w:pPr>
              <w:rPr>
                <w:rFonts w:ascii="Arial" w:hAnsi="Arial" w:cs="Arial"/>
              </w:rPr>
            </w:pPr>
          </w:p>
        </w:tc>
        <w:tc>
          <w:tcPr>
            <w:tcW w:w="1157" w:type="dxa"/>
          </w:tcPr>
          <w:p w:rsidR="00581A16" w:rsidRPr="006F3813" w:rsidRDefault="00581A16" w:rsidP="004114F6">
            <w:pPr>
              <w:rPr>
                <w:rFonts w:ascii="Arial" w:hAnsi="Arial" w:cs="Arial"/>
              </w:rPr>
            </w:pPr>
          </w:p>
        </w:tc>
        <w:tc>
          <w:tcPr>
            <w:tcW w:w="2617" w:type="dxa"/>
          </w:tcPr>
          <w:p w:rsidR="00581A16" w:rsidRPr="006F3813" w:rsidRDefault="00581A16" w:rsidP="004114F6">
            <w:pPr>
              <w:rPr>
                <w:rFonts w:ascii="Arial" w:hAnsi="Arial" w:cs="Arial"/>
              </w:rPr>
            </w:pPr>
          </w:p>
        </w:tc>
        <w:tc>
          <w:tcPr>
            <w:tcW w:w="2816" w:type="dxa"/>
          </w:tcPr>
          <w:p w:rsidR="00581A16" w:rsidRPr="006F3813" w:rsidRDefault="00581A16" w:rsidP="004114F6">
            <w:pPr>
              <w:rPr>
                <w:rFonts w:ascii="Arial" w:hAnsi="Arial" w:cs="Arial"/>
              </w:rPr>
            </w:pPr>
          </w:p>
        </w:tc>
      </w:tr>
    </w:tbl>
    <w:p w:rsidR="00581A16" w:rsidRDefault="00581A16"/>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2510"/>
        <w:gridCol w:w="3774"/>
        <w:gridCol w:w="2817"/>
      </w:tblGrid>
      <w:tr w:rsidR="005056DC" w:rsidRPr="006F3813" w:rsidTr="00C730EA">
        <w:trPr>
          <w:trHeight w:val="193"/>
        </w:trPr>
        <w:tc>
          <w:tcPr>
            <w:tcW w:w="10598" w:type="dxa"/>
            <w:gridSpan w:val="4"/>
            <w:shd w:val="clear" w:color="auto" w:fill="E6E6E6"/>
          </w:tcPr>
          <w:p w:rsidR="005056DC" w:rsidRPr="006F3813" w:rsidRDefault="005056DC" w:rsidP="004114F6">
            <w:pPr>
              <w:rPr>
                <w:rFonts w:ascii="Arial" w:hAnsi="Arial" w:cs="Arial"/>
                <w:b/>
                <w:lang w:val="en-US"/>
              </w:rPr>
            </w:pPr>
            <w:r w:rsidRPr="006F3813">
              <w:rPr>
                <w:rFonts w:ascii="Arial" w:hAnsi="Arial" w:cs="Arial"/>
                <w:b/>
                <w:lang w:val="en-US"/>
              </w:rPr>
              <w:t>Step 5: Review Table</w:t>
            </w:r>
          </w:p>
        </w:tc>
      </w:tr>
      <w:tr w:rsidR="005056DC" w:rsidRPr="006F3813" w:rsidTr="00C730EA">
        <w:trPr>
          <w:trHeight w:val="737"/>
        </w:trPr>
        <w:tc>
          <w:tcPr>
            <w:tcW w:w="0" w:type="auto"/>
          </w:tcPr>
          <w:p w:rsidR="005056DC" w:rsidRPr="006F3813" w:rsidRDefault="005056DC" w:rsidP="004114F6">
            <w:pPr>
              <w:rPr>
                <w:rFonts w:ascii="Arial" w:hAnsi="Arial" w:cs="Arial"/>
                <w:b/>
                <w:lang w:val="en-US"/>
              </w:rPr>
            </w:pPr>
            <w:r w:rsidRPr="006F3813">
              <w:rPr>
                <w:rFonts w:ascii="Arial" w:hAnsi="Arial" w:cs="Arial"/>
                <w:b/>
                <w:lang w:val="en-US"/>
              </w:rPr>
              <w:t xml:space="preserve">Date </w:t>
            </w:r>
          </w:p>
          <w:p w:rsidR="005056DC" w:rsidRPr="006F3813" w:rsidRDefault="005056DC" w:rsidP="004114F6">
            <w:pPr>
              <w:rPr>
                <w:rFonts w:ascii="Arial" w:hAnsi="Arial" w:cs="Arial"/>
                <w:b/>
                <w:lang w:val="en-US"/>
              </w:rPr>
            </w:pPr>
            <w:r w:rsidRPr="006F3813">
              <w:rPr>
                <w:rFonts w:ascii="Arial" w:hAnsi="Arial" w:cs="Arial"/>
                <w:b/>
                <w:lang w:val="en-US"/>
              </w:rPr>
              <w:t>(dd/mm/yy)</w:t>
            </w:r>
          </w:p>
        </w:tc>
        <w:tc>
          <w:tcPr>
            <w:tcW w:w="2510" w:type="dxa"/>
          </w:tcPr>
          <w:p w:rsidR="005056DC" w:rsidRPr="006F3813" w:rsidRDefault="005056DC" w:rsidP="004114F6">
            <w:pPr>
              <w:rPr>
                <w:rFonts w:ascii="Arial" w:hAnsi="Arial" w:cs="Arial"/>
                <w:b/>
                <w:lang w:val="en-US"/>
              </w:rPr>
            </w:pPr>
            <w:r w:rsidRPr="006F3813">
              <w:rPr>
                <w:rFonts w:ascii="Arial" w:hAnsi="Arial" w:cs="Arial"/>
                <w:b/>
                <w:lang w:val="en-US"/>
              </w:rPr>
              <w:t>Reviewer</w:t>
            </w:r>
          </w:p>
        </w:tc>
        <w:tc>
          <w:tcPr>
            <w:tcW w:w="3774" w:type="dxa"/>
          </w:tcPr>
          <w:p w:rsidR="005056DC" w:rsidRPr="006F3813" w:rsidRDefault="005056DC" w:rsidP="004114F6">
            <w:pPr>
              <w:rPr>
                <w:rFonts w:ascii="Arial" w:hAnsi="Arial" w:cs="Arial"/>
                <w:b/>
                <w:lang w:val="en-US"/>
              </w:rPr>
            </w:pPr>
            <w:r w:rsidRPr="006F3813">
              <w:rPr>
                <w:rFonts w:ascii="Arial" w:hAnsi="Arial" w:cs="Arial"/>
                <w:b/>
                <w:lang w:val="en-US"/>
              </w:rPr>
              <w:t>Reasons for review</w:t>
            </w:r>
          </w:p>
        </w:tc>
        <w:tc>
          <w:tcPr>
            <w:tcW w:w="2817" w:type="dxa"/>
          </w:tcPr>
          <w:p w:rsidR="005056DC" w:rsidRPr="006F3813" w:rsidRDefault="005056DC" w:rsidP="004114F6">
            <w:pPr>
              <w:rPr>
                <w:rFonts w:ascii="Arial" w:hAnsi="Arial" w:cs="Arial"/>
                <w:b/>
                <w:lang w:val="en-US"/>
              </w:rPr>
            </w:pPr>
            <w:r w:rsidRPr="006F3813">
              <w:rPr>
                <w:rFonts w:ascii="Arial" w:hAnsi="Arial" w:cs="Arial"/>
                <w:b/>
                <w:lang w:val="en-US"/>
              </w:rPr>
              <w:t xml:space="preserve">Approved/Not Approved  by </w:t>
            </w:r>
          </w:p>
          <w:p w:rsidR="005056DC" w:rsidRPr="006F3813" w:rsidRDefault="005056DC" w:rsidP="004114F6">
            <w:pPr>
              <w:rPr>
                <w:rFonts w:ascii="Arial" w:hAnsi="Arial" w:cs="Arial"/>
                <w:b/>
                <w:lang w:val="en-US"/>
              </w:rPr>
            </w:pPr>
            <w:r w:rsidRPr="006F3813">
              <w:rPr>
                <w:rFonts w:ascii="Arial" w:hAnsi="Arial" w:cs="Arial"/>
                <w:b/>
                <w:lang w:val="en-US"/>
              </w:rPr>
              <w:t>(dd/mm/yy)</w:t>
            </w:r>
          </w:p>
        </w:tc>
      </w:tr>
      <w:tr w:rsidR="005056DC" w:rsidRPr="006F3813" w:rsidTr="00C730EA">
        <w:trPr>
          <w:trHeight w:val="262"/>
        </w:trPr>
        <w:tc>
          <w:tcPr>
            <w:tcW w:w="0" w:type="auto"/>
          </w:tcPr>
          <w:p w:rsidR="005056DC" w:rsidRPr="006F3813" w:rsidRDefault="005056DC" w:rsidP="004114F6">
            <w:pPr>
              <w:rPr>
                <w:rFonts w:ascii="Arial" w:hAnsi="Arial" w:cs="Arial"/>
                <w:lang w:val="en-US"/>
              </w:rPr>
            </w:pPr>
          </w:p>
        </w:tc>
        <w:tc>
          <w:tcPr>
            <w:tcW w:w="2510" w:type="dxa"/>
          </w:tcPr>
          <w:p w:rsidR="005056DC" w:rsidRPr="006F3813" w:rsidRDefault="005056DC" w:rsidP="004114F6">
            <w:pPr>
              <w:rPr>
                <w:rFonts w:ascii="Arial" w:hAnsi="Arial" w:cs="Arial"/>
                <w:lang w:val="en-US"/>
              </w:rPr>
            </w:pPr>
          </w:p>
        </w:tc>
        <w:tc>
          <w:tcPr>
            <w:tcW w:w="3774" w:type="dxa"/>
          </w:tcPr>
          <w:p w:rsidR="005056DC" w:rsidRPr="006F3813" w:rsidRDefault="005056DC" w:rsidP="004114F6">
            <w:pPr>
              <w:rPr>
                <w:rFonts w:ascii="Arial" w:hAnsi="Arial" w:cs="Arial"/>
                <w:lang w:val="en-US"/>
              </w:rPr>
            </w:pPr>
          </w:p>
        </w:tc>
        <w:tc>
          <w:tcPr>
            <w:tcW w:w="2817" w:type="dxa"/>
          </w:tcPr>
          <w:p w:rsidR="005056DC" w:rsidRPr="006F3813" w:rsidRDefault="005056DC" w:rsidP="004114F6">
            <w:pPr>
              <w:rPr>
                <w:rFonts w:ascii="Arial" w:hAnsi="Arial" w:cs="Arial"/>
                <w:lang w:val="en-US"/>
              </w:rPr>
            </w:pPr>
          </w:p>
        </w:tc>
      </w:tr>
      <w:tr w:rsidR="00581A16" w:rsidRPr="006F3813" w:rsidTr="00C730EA">
        <w:trPr>
          <w:trHeight w:val="262"/>
        </w:trPr>
        <w:tc>
          <w:tcPr>
            <w:tcW w:w="0" w:type="auto"/>
          </w:tcPr>
          <w:p w:rsidR="00581A16" w:rsidRPr="006F3813" w:rsidRDefault="00581A16" w:rsidP="004114F6">
            <w:pPr>
              <w:rPr>
                <w:rFonts w:ascii="Arial" w:hAnsi="Arial" w:cs="Arial"/>
                <w:lang w:val="en-US"/>
              </w:rPr>
            </w:pPr>
          </w:p>
        </w:tc>
        <w:tc>
          <w:tcPr>
            <w:tcW w:w="2510" w:type="dxa"/>
          </w:tcPr>
          <w:p w:rsidR="00581A16" w:rsidRPr="006F3813" w:rsidRDefault="00581A16" w:rsidP="004114F6">
            <w:pPr>
              <w:rPr>
                <w:rFonts w:ascii="Arial" w:hAnsi="Arial" w:cs="Arial"/>
                <w:lang w:val="en-US"/>
              </w:rPr>
            </w:pPr>
          </w:p>
        </w:tc>
        <w:tc>
          <w:tcPr>
            <w:tcW w:w="3774" w:type="dxa"/>
          </w:tcPr>
          <w:p w:rsidR="00581A16" w:rsidRPr="006F3813" w:rsidRDefault="00581A16" w:rsidP="004114F6">
            <w:pPr>
              <w:rPr>
                <w:rFonts w:ascii="Arial" w:hAnsi="Arial" w:cs="Arial"/>
                <w:lang w:val="en-US"/>
              </w:rPr>
            </w:pPr>
          </w:p>
        </w:tc>
        <w:tc>
          <w:tcPr>
            <w:tcW w:w="2817" w:type="dxa"/>
          </w:tcPr>
          <w:p w:rsidR="00581A16" w:rsidRPr="006F3813" w:rsidRDefault="00581A16" w:rsidP="004114F6">
            <w:pPr>
              <w:rPr>
                <w:rFonts w:ascii="Arial" w:hAnsi="Arial" w:cs="Arial"/>
                <w:lang w:val="en-US"/>
              </w:rPr>
            </w:pPr>
          </w:p>
        </w:tc>
      </w:tr>
    </w:tbl>
    <w:p w:rsidR="004B5305" w:rsidRPr="006F3813" w:rsidRDefault="004B5305">
      <w:pPr>
        <w:rPr>
          <w:rFonts w:ascii="Arial" w:hAnsi="Arial" w:cs="Arial"/>
        </w:rPr>
      </w:pPr>
    </w:p>
    <w:sectPr w:rsidR="004B5305" w:rsidRPr="006F3813" w:rsidSect="00127E6C">
      <w:pgSz w:w="11906" w:h="16838"/>
      <w:pgMar w:top="567" w:right="849" w:bottom="567" w:left="85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16" w:rsidRDefault="00E72416" w:rsidP="00C730EA">
      <w:r>
        <w:separator/>
      </w:r>
    </w:p>
  </w:endnote>
  <w:endnote w:type="continuationSeparator" w:id="0">
    <w:p w:rsidR="00E72416" w:rsidRDefault="00E72416" w:rsidP="00C7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16" w:rsidRDefault="00E72416" w:rsidP="00C730EA">
      <w:r>
        <w:separator/>
      </w:r>
    </w:p>
  </w:footnote>
  <w:footnote w:type="continuationSeparator" w:id="0">
    <w:p w:rsidR="00E72416" w:rsidRDefault="00E72416" w:rsidP="00C73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C76"/>
    <w:multiLevelType w:val="hybridMultilevel"/>
    <w:tmpl w:val="BDE6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2D776C"/>
    <w:multiLevelType w:val="hybridMultilevel"/>
    <w:tmpl w:val="2198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56DC"/>
    <w:rsid w:val="00012552"/>
    <w:rsid w:val="00062118"/>
    <w:rsid w:val="00070B68"/>
    <w:rsid w:val="000D6CBB"/>
    <w:rsid w:val="000D7F64"/>
    <w:rsid w:val="000E21BE"/>
    <w:rsid w:val="00127E6C"/>
    <w:rsid w:val="00162776"/>
    <w:rsid w:val="001B6A0F"/>
    <w:rsid w:val="00247B76"/>
    <w:rsid w:val="00307FCB"/>
    <w:rsid w:val="00377D19"/>
    <w:rsid w:val="003A4C16"/>
    <w:rsid w:val="003E4C42"/>
    <w:rsid w:val="004114F6"/>
    <w:rsid w:val="00430A12"/>
    <w:rsid w:val="004823E0"/>
    <w:rsid w:val="004B5305"/>
    <w:rsid w:val="004D2063"/>
    <w:rsid w:val="00503B12"/>
    <w:rsid w:val="005056DC"/>
    <w:rsid w:val="00571708"/>
    <w:rsid w:val="00581A16"/>
    <w:rsid w:val="00592ACD"/>
    <w:rsid w:val="0059367E"/>
    <w:rsid w:val="005F12B7"/>
    <w:rsid w:val="006016DF"/>
    <w:rsid w:val="006A60B8"/>
    <w:rsid w:val="006E75FB"/>
    <w:rsid w:val="006F2363"/>
    <w:rsid w:val="006F3813"/>
    <w:rsid w:val="007B6B71"/>
    <w:rsid w:val="007D7FED"/>
    <w:rsid w:val="00843318"/>
    <w:rsid w:val="00872EE6"/>
    <w:rsid w:val="00912AAA"/>
    <w:rsid w:val="009B78A0"/>
    <w:rsid w:val="00B01F54"/>
    <w:rsid w:val="00C730EA"/>
    <w:rsid w:val="00CD1F8E"/>
    <w:rsid w:val="00D61466"/>
    <w:rsid w:val="00DA6DFD"/>
    <w:rsid w:val="00DC7E46"/>
    <w:rsid w:val="00E50C5F"/>
    <w:rsid w:val="00E72416"/>
    <w:rsid w:val="00EC5C3F"/>
    <w:rsid w:val="00EE0E75"/>
    <w:rsid w:val="00F70B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DC"/>
    <w:rPr>
      <w:rFonts w:ascii="Times New Roman" w:eastAsia="Times New Roman" w:hAnsi="Times New Roman"/>
      <w:sz w:val="24"/>
      <w:szCs w:val="24"/>
      <w:lang w:eastAsia="en-US"/>
    </w:rPr>
  </w:style>
  <w:style w:type="paragraph" w:styleId="Heading2">
    <w:name w:val="heading 2"/>
    <w:basedOn w:val="Normal"/>
    <w:next w:val="Normal"/>
    <w:link w:val="Heading2Char"/>
    <w:semiHidden/>
    <w:unhideWhenUsed/>
    <w:qFormat/>
    <w:rsid w:val="005056D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5056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56DC"/>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5056DC"/>
    <w:rPr>
      <w:rFonts w:ascii="Calibri" w:eastAsia="Times New Roman" w:hAnsi="Calibri" w:cs="Times New Roman"/>
      <w:b/>
      <w:bCs/>
      <w:sz w:val="28"/>
      <w:szCs w:val="28"/>
    </w:rPr>
  </w:style>
  <w:style w:type="paragraph" w:styleId="Footer">
    <w:name w:val="footer"/>
    <w:basedOn w:val="Normal"/>
    <w:link w:val="FooterChar"/>
    <w:rsid w:val="005056DC"/>
    <w:pPr>
      <w:tabs>
        <w:tab w:val="center" w:pos="4153"/>
        <w:tab w:val="right" w:pos="8306"/>
      </w:tabs>
    </w:pPr>
  </w:style>
  <w:style w:type="character" w:customStyle="1" w:styleId="FooterChar">
    <w:name w:val="Footer Char"/>
    <w:basedOn w:val="DefaultParagraphFont"/>
    <w:link w:val="Footer"/>
    <w:rsid w:val="005056DC"/>
    <w:rPr>
      <w:rFonts w:ascii="Times New Roman" w:eastAsia="Times New Roman" w:hAnsi="Times New Roman" w:cs="Times New Roman"/>
      <w:sz w:val="24"/>
      <w:szCs w:val="24"/>
    </w:rPr>
  </w:style>
  <w:style w:type="character" w:styleId="Hyperlink">
    <w:name w:val="Hyperlink"/>
    <w:basedOn w:val="DefaultParagraphFont"/>
    <w:rsid w:val="005056DC"/>
    <w:rPr>
      <w:rFonts w:cs="Times New Roman"/>
      <w:color w:val="0000FF"/>
      <w:u w:val="single"/>
    </w:rPr>
  </w:style>
  <w:style w:type="paragraph" w:styleId="NormalWeb">
    <w:name w:val="Normal (Web)"/>
    <w:basedOn w:val="Normal"/>
    <w:uiPriority w:val="99"/>
    <w:rsid w:val="005056DC"/>
    <w:pPr>
      <w:spacing w:after="240"/>
    </w:pPr>
    <w:rPr>
      <w:rFonts w:ascii="Arial Unicode MS" w:eastAsia="Arial Unicode MS" w:hAnsi="Arial Unicode MS" w:cs="Arial Unicode MS"/>
      <w:color w:val="111111"/>
      <w:sz w:val="18"/>
      <w:szCs w:val="18"/>
    </w:rPr>
  </w:style>
  <w:style w:type="paragraph" w:styleId="Header">
    <w:name w:val="header"/>
    <w:basedOn w:val="Normal"/>
    <w:link w:val="HeaderChar"/>
    <w:uiPriority w:val="99"/>
    <w:semiHidden/>
    <w:unhideWhenUsed/>
    <w:rsid w:val="00C730EA"/>
    <w:pPr>
      <w:tabs>
        <w:tab w:val="center" w:pos="4513"/>
        <w:tab w:val="right" w:pos="9026"/>
      </w:tabs>
    </w:pPr>
  </w:style>
  <w:style w:type="character" w:customStyle="1" w:styleId="HeaderChar">
    <w:name w:val="Header Char"/>
    <w:basedOn w:val="DefaultParagraphFont"/>
    <w:link w:val="Header"/>
    <w:uiPriority w:val="99"/>
    <w:semiHidden/>
    <w:rsid w:val="00C730E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lothian.scot.nhs.uk/NHSLothian/Corporate/A-Z/OccupationalHealthAndSafety/HealthAndSafety/Pages/default.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Sharps and Safety Devices</TermName>
          <TermId xmlns="http://schemas.microsoft.com/office/infopath/2007/PartnerControls">2e3746f8-ed4c-40f3-9f38-ac257478264c</TermId>
        </TermInfo>
      </Terms>
    </a3891cf789b9439ca4cb54ac29870ccd>
    <TaxCatchAll xmlns="97c6ce5b-a9e5-4aec-a3cd-6018d305bc82">
      <Value>117</Value>
      <Value>27</Value>
      <Value>2320</Value>
      <Value>2319</Value>
      <Value>1571</Value>
      <Value>2317</Value>
    </TaxCatchAll>
    <Point_x0020_of_x0020_contact_x0020__x0028_author_x002c__x0020_if_x0020_possible_x0029_ xmlns="f6c29f53-81bf-4026-a7b1-08cdc5d8dcfc">angeles Mendoza</Point_x0020_of_x0020_contact_x0020__x0028_author_x002c__x0020_if_x0020_possible_x0029_>
    <IconOverlay xmlns="http://schemas.microsoft.com/sharepoint/v4" xsi:nil="true"/>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g44543c373234c5890ddca0d162f654b>
    <Group xmlns="f6c29f53-81bf-4026-a7b1-08cdc5d8dcfc" xsi:nil="true"/>
    <TaxKeywordTaxHTField xmlns="97c6ce5b-a9e5-4aec-a3cd-6018d305bc82">
      <Terms xmlns="http://schemas.microsoft.com/office/infopath/2007/PartnerControls">
        <TermInfo xmlns="http://schemas.microsoft.com/office/infopath/2007/PartnerControls">
          <TermName xmlns="http://schemas.microsoft.com/office/infopath/2007/PartnerControls">risk assessment</TermName>
          <TermId xmlns="http://schemas.microsoft.com/office/infopath/2007/PartnerControls">e670bae9-11d8-44c1-819c-69f3b64a6c20</TermId>
        </TermInfo>
        <TermInfo xmlns="http://schemas.microsoft.com/office/infopath/2007/PartnerControls">
          <TermName xmlns="http://schemas.microsoft.com/office/infopath/2007/PartnerControls">subcut model</TermName>
          <TermId xmlns="http://schemas.microsoft.com/office/infopath/2007/PartnerControls">b47691dc-5bb0-4309-9460-4392ee347384</TermId>
        </TermInfo>
        <TermInfo xmlns="http://schemas.microsoft.com/office/infopath/2007/PartnerControls">
          <TermName xmlns="http://schemas.microsoft.com/office/infopath/2007/PartnerControls">subcut</TermName>
          <TermId xmlns="http://schemas.microsoft.com/office/infopath/2007/PartnerControls">ad4a6372-8eeb-42cd-8b76-f260d7984867</TermId>
        </TermInfo>
        <TermInfo xmlns="http://schemas.microsoft.com/office/infopath/2007/PartnerControls">
          <TermName xmlns="http://schemas.microsoft.com/office/infopath/2007/PartnerControls">model risk assessment</TermName>
          <TermId xmlns="http://schemas.microsoft.com/office/infopath/2007/PartnerControls">c59b3f79-d900-4bca-be7f-ae9737f6500c</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41781-98F6-45A9-8E72-687AD89ADF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4BFA8B-E396-41CC-8656-76A151CFD5B0}">
  <ds:schemaRefs>
    <ds:schemaRef ds:uri="http://schemas.microsoft.com/sharepoint/v3/contenttype/forms"/>
  </ds:schemaRefs>
</ds:datastoreItem>
</file>

<file path=customXml/itemProps3.xml><?xml version="1.0" encoding="utf-8"?>
<ds:datastoreItem xmlns:ds="http://schemas.openxmlformats.org/officeDocument/2006/customXml" ds:itemID="{0B23E079-EA5B-4E44-A0AE-305D13F47399}"/>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3171</CharactersWithSpaces>
  <SharedDoc>false</SharedDoc>
  <HLinks>
    <vt:vector size="6" baseType="variant">
      <vt:variant>
        <vt:i4>6422637</vt:i4>
      </vt:variant>
      <vt:variant>
        <vt:i4>0</vt:i4>
      </vt:variant>
      <vt:variant>
        <vt:i4>0</vt:i4>
      </vt:variant>
      <vt:variant>
        <vt:i4>5</vt:i4>
      </vt:variant>
      <vt:variant>
        <vt:lpwstr>http://intranet.lothian.scot.nhs.uk/NHSLothian/Corporate/A-Z/OccupationalHealthAndSafety/HealthAndSafety/Pages/default.aspx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SubCut Model RA</dc:title>
  <dc:creator>David Richardson</dc:creator>
  <cp:keywords>model risk assessment; subcut; subcut model; risk assessment</cp:keywords>
  <cp:lastModifiedBy>Angeles Mendoza</cp:lastModifiedBy>
  <cp:revision>2</cp:revision>
  <dcterms:created xsi:type="dcterms:W3CDTF">2019-10-16T13:39:00Z</dcterms:created>
  <dcterms:modified xsi:type="dcterms:W3CDTF">2019-10-16T13:39:00Z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TaxKeyword">
    <vt:lpwstr>117;#risk assessment|e670bae9-11d8-44c1-819c-69f3b64a6c20;#2320;#subcut model|b47691dc-5bb0-4309-9460-4392ee347384;#2319;#subcut|ad4a6372-8eeb-42cd-8b76-f260d7984867;#2317;#model risk assessment|c59b3f79-d900-4bca-be7f-ae9737f6500c</vt:lpwstr>
  </property>
  <property fmtid="{D5CDD505-2E9C-101B-9397-08002B2CF9AE}" pid="4" name="Policy">
    <vt:lpwstr>1571;#Sharps and Safety Devices|2e3746f8-ed4c-40f3-9f38-ac257478264c</vt:lpwstr>
  </property>
  <property fmtid="{D5CDD505-2E9C-101B-9397-08002B2CF9AE}" pid="5" name="Department">
    <vt:lpwstr>27;#Health and Safety|ec8165f0-4a5f-433d-93c2-438c8939ec55</vt:lpwstr>
  </property>
</Properties>
</file>